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2"/>
        <w:tblpPr w:leftFromText="180" w:rightFromText="180" w:vertAnchor="page" w:horzAnchor="margin" w:tblpXSpec="right" w:tblpY="2221"/>
        <w:tblW w:w="10242" w:type="dxa"/>
        <w:tblLook w:val="04A0"/>
      </w:tblPr>
      <w:tblGrid>
        <w:gridCol w:w="1908"/>
        <w:gridCol w:w="8334"/>
      </w:tblGrid>
      <w:tr w:rsidR="00314F2F" w:rsidRPr="00B061FD" w:rsidTr="000B43E9">
        <w:trPr>
          <w:cnfStyle w:val="100000000000"/>
          <w:trHeight w:val="251"/>
        </w:trPr>
        <w:tc>
          <w:tcPr>
            <w:cnfStyle w:val="001000000100"/>
            <w:tcW w:w="1908" w:type="dxa"/>
          </w:tcPr>
          <w:p w:rsidR="000B43E9" w:rsidRPr="00314F2F" w:rsidRDefault="00314F2F" w:rsidP="00314F2F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Titulli I projektit </w:t>
            </w:r>
            <w:r w:rsidR="000B43E9"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0B43E9" w:rsidRPr="00314F2F" w:rsidRDefault="00314F2F" w:rsidP="00314F2F">
            <w:pPr>
              <w:jc w:val="both"/>
              <w:cnfStyle w:val="1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Marrja transparente dhe neutral</w:t>
            </w:r>
            <w:r w:rsidR="00F950BD"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e mostrave, kontrolli I kualitetit dhe pagesa e drejtë e qumështit  të papërpunuar </w:t>
            </w:r>
          </w:p>
        </w:tc>
      </w:tr>
      <w:tr w:rsidR="00314F2F" w:rsidRPr="00314F2F" w:rsidTr="000B43E9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0B43E9" w:rsidRPr="00314F2F" w:rsidRDefault="00314F2F" w:rsidP="00314F2F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Vendi</w:t>
            </w:r>
          </w:p>
        </w:tc>
        <w:tc>
          <w:tcPr>
            <w:tcW w:w="8334" w:type="dxa"/>
          </w:tcPr>
          <w:p w:rsidR="000B43E9" w:rsidRPr="00314F2F" w:rsidRDefault="000B43E9" w:rsidP="00474B6A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Kosov</w:t>
            </w:r>
            <w:r w:rsidR="00474B6A">
              <w:rPr>
                <w:rFonts w:ascii="Arial" w:hAnsi="Arial" w:cs="Arial"/>
                <w:sz w:val="20"/>
                <w:szCs w:val="20"/>
                <w:lang w:val="sq-AL"/>
              </w:rPr>
              <w:t>a</w:t>
            </w:r>
          </w:p>
        </w:tc>
      </w:tr>
      <w:tr w:rsidR="00314F2F" w:rsidRPr="00314F2F" w:rsidTr="000B43E9">
        <w:trPr>
          <w:trHeight w:val="262"/>
        </w:trPr>
        <w:tc>
          <w:tcPr>
            <w:cnfStyle w:val="001000000000"/>
            <w:tcW w:w="1908" w:type="dxa"/>
          </w:tcPr>
          <w:p w:rsidR="000B43E9" w:rsidRPr="00314F2F" w:rsidRDefault="00314F2F" w:rsidP="00314F2F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Rajoni i projektit </w:t>
            </w:r>
            <w:r w:rsidR="000B43E9"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0B43E9" w:rsidRPr="00314F2F" w:rsidRDefault="000B43E9" w:rsidP="00474B6A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Kosov</w:t>
            </w:r>
            <w:r w:rsidR="00474B6A">
              <w:rPr>
                <w:rFonts w:ascii="Arial" w:hAnsi="Arial" w:cs="Arial"/>
                <w:sz w:val="20"/>
                <w:szCs w:val="20"/>
                <w:lang w:val="sq-AL"/>
              </w:rPr>
              <w:t>a</w:t>
            </w:r>
          </w:p>
        </w:tc>
      </w:tr>
      <w:tr w:rsidR="00314F2F" w:rsidRPr="00B061FD" w:rsidTr="000B43E9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0B43E9" w:rsidRPr="00314F2F" w:rsidRDefault="00314F2F" w:rsidP="00314F2F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Gjendja fillestare </w:t>
            </w:r>
            <w:r w:rsidR="000B43E9"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0B43E9" w:rsidRPr="00314F2F" w:rsidRDefault="002A085D" w:rsidP="00347D3A">
            <w:pPr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Është shumë e rëndësishme për zhvilli</w:t>
            </w:r>
            <w:r w:rsidR="00DD585F">
              <w:rPr>
                <w:rFonts w:ascii="Arial" w:hAnsi="Arial" w:cs="Arial"/>
                <w:sz w:val="20"/>
                <w:szCs w:val="20"/>
                <w:lang w:val="sq-AL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in e sektorit të qumështit </w:t>
            </w:r>
            <w:r w:rsidR="00DD585F">
              <w:rPr>
                <w:rFonts w:ascii="Arial" w:hAnsi="Arial" w:cs="Arial"/>
                <w:sz w:val="20"/>
                <w:szCs w:val="20"/>
                <w:lang w:val="sq-AL"/>
              </w:rPr>
              <w:t>që</w:t>
            </w:r>
            <w:r w:rsidR="005E3293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Kosova  </w:t>
            </w:r>
            <w:r w:rsidR="00662B89">
              <w:rPr>
                <w:rFonts w:ascii="Arial" w:hAnsi="Arial" w:cs="Arial"/>
                <w:sz w:val="20"/>
                <w:szCs w:val="20"/>
                <w:lang w:val="sq-AL"/>
              </w:rPr>
              <w:t xml:space="preserve">të </w:t>
            </w:r>
            <w:r w:rsidR="009C3D63">
              <w:rPr>
                <w:rFonts w:ascii="Arial" w:hAnsi="Arial" w:cs="Arial"/>
                <w:sz w:val="20"/>
                <w:szCs w:val="20"/>
                <w:lang w:val="sq-AL"/>
              </w:rPr>
              <w:t xml:space="preserve">fut  në përdorim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një sistem </w:t>
            </w:r>
            <w:r w:rsidR="00662B89">
              <w:rPr>
                <w:rFonts w:ascii="Arial" w:hAnsi="Arial" w:cs="Arial"/>
                <w:sz w:val="20"/>
                <w:szCs w:val="20"/>
                <w:lang w:val="sq-AL"/>
              </w:rPr>
              <w:t xml:space="preserve">laboratorik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publik transparent dhe neutral </w:t>
            </w:r>
            <w:r w:rsidR="00662B89">
              <w:rPr>
                <w:rFonts w:ascii="Arial" w:hAnsi="Arial" w:cs="Arial"/>
                <w:sz w:val="20"/>
                <w:szCs w:val="20"/>
                <w:lang w:val="sq-AL"/>
              </w:rPr>
              <w:t xml:space="preserve"> i cili pranohet gjerësisht nga prodhuesit dhe përpunuesit, por edhe n</w:t>
            </w:r>
            <w:r w:rsidR="005E3293">
              <w:rPr>
                <w:rFonts w:ascii="Arial" w:hAnsi="Arial" w:cs="Arial"/>
                <w:sz w:val="20"/>
                <w:szCs w:val="20"/>
                <w:lang w:val="sq-AL"/>
              </w:rPr>
              <w:t>g</w:t>
            </w:r>
            <w:r w:rsidR="00662B89">
              <w:rPr>
                <w:rFonts w:ascii="Arial" w:hAnsi="Arial" w:cs="Arial"/>
                <w:sz w:val="20"/>
                <w:szCs w:val="20"/>
                <w:lang w:val="sq-AL"/>
              </w:rPr>
              <w:t>a konsumatorët të cilët kanë</w:t>
            </w:r>
            <w:r w:rsidR="00B33B02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662B89">
              <w:rPr>
                <w:rFonts w:ascii="Arial" w:hAnsi="Arial" w:cs="Arial"/>
                <w:sz w:val="20"/>
                <w:szCs w:val="20"/>
                <w:lang w:val="sq-AL"/>
              </w:rPr>
              <w:t>një</w:t>
            </w:r>
            <w:r w:rsidR="00B33B02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662B89">
              <w:rPr>
                <w:rFonts w:ascii="Arial" w:hAnsi="Arial" w:cs="Arial"/>
                <w:sz w:val="20"/>
                <w:szCs w:val="20"/>
                <w:lang w:val="sq-AL"/>
              </w:rPr>
              <w:t>interes të</w:t>
            </w:r>
            <w:r w:rsidR="00B33B02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662B89">
              <w:rPr>
                <w:rFonts w:ascii="Arial" w:hAnsi="Arial" w:cs="Arial"/>
                <w:sz w:val="20"/>
                <w:szCs w:val="20"/>
                <w:lang w:val="sq-AL"/>
              </w:rPr>
              <w:t>madh</w:t>
            </w:r>
            <w:r w:rsidR="005E3293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B33B02">
              <w:rPr>
                <w:rFonts w:ascii="Arial" w:hAnsi="Arial" w:cs="Arial"/>
                <w:sz w:val="20"/>
                <w:szCs w:val="20"/>
                <w:lang w:val="sq-AL"/>
              </w:rPr>
              <w:t xml:space="preserve">në qumësht me cilësi të lartë, si dhe qeverinë si përgjegjëse </w:t>
            </w:r>
            <w:r w:rsidR="007D4F9B">
              <w:rPr>
                <w:rFonts w:ascii="Arial" w:hAnsi="Arial" w:cs="Arial"/>
                <w:sz w:val="20"/>
                <w:szCs w:val="20"/>
                <w:lang w:val="sq-AL"/>
              </w:rPr>
              <w:t xml:space="preserve">për të garantuar sigurinë e ushqimit në Kosovë. </w:t>
            </w:r>
            <w:r w:rsidR="00347D3A">
              <w:rPr>
                <w:rFonts w:ascii="Arial" w:hAnsi="Arial" w:cs="Arial"/>
                <w:sz w:val="20"/>
                <w:szCs w:val="20"/>
                <w:lang w:val="sq-AL"/>
              </w:rPr>
              <w:t>Gjithashtu</w:t>
            </w:r>
            <w:r w:rsidR="00A55F02">
              <w:rPr>
                <w:rFonts w:ascii="Arial" w:hAnsi="Arial" w:cs="Arial"/>
                <w:sz w:val="20"/>
                <w:szCs w:val="20"/>
                <w:lang w:val="sq-AL"/>
              </w:rPr>
              <w:t>, një sistem efektiv i kontrollit duhet të</w:t>
            </w:r>
            <w:r w:rsidR="000C3EBE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A55F02">
              <w:rPr>
                <w:rFonts w:ascii="Arial" w:hAnsi="Arial" w:cs="Arial"/>
                <w:sz w:val="20"/>
                <w:szCs w:val="20"/>
                <w:lang w:val="sq-AL"/>
              </w:rPr>
              <w:t xml:space="preserve">lehtësojë dhe përmirësojë pagesën e kualitetit për qumështin e </w:t>
            </w:r>
            <w:r w:rsidR="000C3EBE">
              <w:rPr>
                <w:rFonts w:ascii="Arial" w:hAnsi="Arial" w:cs="Arial"/>
                <w:sz w:val="20"/>
                <w:szCs w:val="20"/>
                <w:lang w:val="sq-AL"/>
              </w:rPr>
              <w:t>Kosovës</w:t>
            </w:r>
            <w:r w:rsidR="00A55F02">
              <w:rPr>
                <w:rFonts w:ascii="Arial" w:hAnsi="Arial" w:cs="Arial"/>
                <w:sz w:val="20"/>
                <w:szCs w:val="20"/>
                <w:lang w:val="sq-AL"/>
              </w:rPr>
              <w:t>, duke përdorur</w:t>
            </w:r>
            <w:r w:rsidR="000C3EBE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823917">
              <w:rPr>
                <w:rFonts w:ascii="Arial" w:hAnsi="Arial" w:cs="Arial"/>
                <w:sz w:val="20"/>
                <w:szCs w:val="20"/>
                <w:lang w:val="sq-AL"/>
              </w:rPr>
              <w:t xml:space="preserve">ndëshkimin </w:t>
            </w:r>
            <w:r w:rsidR="000C3EBE">
              <w:rPr>
                <w:rFonts w:ascii="Arial" w:hAnsi="Arial" w:cs="Arial"/>
                <w:sz w:val="20"/>
                <w:szCs w:val="20"/>
                <w:lang w:val="sq-AL"/>
              </w:rPr>
              <w:t>për cilësinë e qumështit që është nën standardet minimale dhe stimulime</w:t>
            </w:r>
            <w:r w:rsidR="005E3293">
              <w:rPr>
                <w:rFonts w:ascii="Arial" w:hAnsi="Arial" w:cs="Arial"/>
                <w:sz w:val="20"/>
                <w:szCs w:val="20"/>
                <w:lang w:val="sq-AL"/>
              </w:rPr>
              <w:t xml:space="preserve">t e </w:t>
            </w:r>
            <w:r w:rsidR="000C3EBE">
              <w:rPr>
                <w:rFonts w:ascii="Arial" w:hAnsi="Arial" w:cs="Arial"/>
                <w:sz w:val="20"/>
                <w:szCs w:val="20"/>
                <w:lang w:val="sq-AL"/>
              </w:rPr>
              <w:t xml:space="preserve">  çmimit për kualitetin e </w:t>
            </w:r>
            <w:r w:rsidR="00B55434">
              <w:rPr>
                <w:rFonts w:ascii="Arial" w:hAnsi="Arial" w:cs="Arial"/>
                <w:sz w:val="20"/>
                <w:szCs w:val="20"/>
                <w:lang w:val="sq-AL"/>
              </w:rPr>
              <w:t xml:space="preserve">jashtëzakonshëm </w:t>
            </w:r>
            <w:r w:rsidR="000C3EBE">
              <w:rPr>
                <w:rFonts w:ascii="Arial" w:hAnsi="Arial" w:cs="Arial"/>
                <w:sz w:val="20"/>
                <w:szCs w:val="20"/>
                <w:lang w:val="sq-AL"/>
              </w:rPr>
              <w:t xml:space="preserve"> të qumështit</w:t>
            </w:r>
            <w:r w:rsidR="00516CCB">
              <w:rPr>
                <w:rFonts w:ascii="Arial" w:hAnsi="Arial" w:cs="Arial"/>
                <w:sz w:val="20"/>
                <w:szCs w:val="20"/>
                <w:lang w:val="sq-AL"/>
              </w:rPr>
              <w:t>.</w:t>
            </w:r>
          </w:p>
        </w:tc>
      </w:tr>
      <w:tr w:rsidR="00314F2F" w:rsidRPr="00B061FD" w:rsidTr="000B43E9">
        <w:trPr>
          <w:trHeight w:val="251"/>
        </w:trPr>
        <w:tc>
          <w:tcPr>
            <w:cnfStyle w:val="001000000000"/>
            <w:tcW w:w="1908" w:type="dxa"/>
          </w:tcPr>
          <w:p w:rsidR="000B43E9" w:rsidRPr="00314F2F" w:rsidRDefault="000B43E9" w:rsidP="00314F2F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Obje</w:t>
            </w:r>
            <w:r w:rsidR="00314F2F">
              <w:rPr>
                <w:rFonts w:ascii="Arial" w:hAnsi="Arial" w:cs="Arial"/>
                <w:sz w:val="20"/>
                <w:szCs w:val="20"/>
                <w:lang w:val="sq-AL"/>
              </w:rPr>
              <w:t>ktivat</w:t>
            </w:r>
          </w:p>
        </w:tc>
        <w:tc>
          <w:tcPr>
            <w:tcW w:w="8334" w:type="dxa"/>
          </w:tcPr>
          <w:p w:rsidR="000B43E9" w:rsidRPr="00314F2F" w:rsidRDefault="004B1F8C" w:rsidP="004B1F8C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Sektori i qumështit në Kosovë ka një treg të drejtë, neutral, transparent dhe publik të kontrolluar për qumështin e papërpunuar në favor të prodhimeve vendore të qumështit të kualitetit të</w:t>
            </w:r>
            <w:r w:rsidR="00681C6A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mirë dhe të sigurt, si bazë kryesore për një skemë të pagesës të drejtpërdrejtë dhe subvencioneve për fermerët e qumështit. </w:t>
            </w:r>
          </w:p>
        </w:tc>
      </w:tr>
      <w:tr w:rsidR="00314F2F" w:rsidRPr="00B061FD" w:rsidTr="000B43E9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0B43E9" w:rsidRPr="00314F2F" w:rsidRDefault="00314F2F" w:rsidP="00314F2F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Rezultatet e pritura</w:t>
            </w:r>
          </w:p>
        </w:tc>
        <w:tc>
          <w:tcPr>
            <w:tcW w:w="8334" w:type="dxa"/>
          </w:tcPr>
          <w:p w:rsidR="000B43E9" w:rsidRPr="00314F2F" w:rsidRDefault="00681C6A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Marrja e mostrave </w:t>
            </w:r>
            <w:r w:rsidR="00262EB0">
              <w:rPr>
                <w:rFonts w:ascii="Arial" w:hAnsi="Arial" w:cs="Arial"/>
                <w:sz w:val="20"/>
                <w:szCs w:val="20"/>
                <w:lang w:val="sq-A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ë qumështit të papërpunuar,  testimi i tij dhe kontrolli i cilësisë si dhe mënyra e pagesës është transparente dhe </w:t>
            </w:r>
            <w:r w:rsidR="0088481C">
              <w:rPr>
                <w:rFonts w:ascii="Arial" w:hAnsi="Arial" w:cs="Arial"/>
                <w:sz w:val="20"/>
                <w:szCs w:val="20"/>
                <w:lang w:val="sq-AL"/>
              </w:rPr>
              <w:t>gjerësisht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e pranuar në Kosovë nga fermerët e qumështit, qumështoret dhe Agjencia e Ushqimit dhe  Veterinës  –AUV .</w:t>
            </w:r>
          </w:p>
          <w:p w:rsidR="000B43E9" w:rsidRPr="00314F2F" w:rsidRDefault="00681C6A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Si</w:t>
            </w:r>
            <w:r w:rsidR="003320FD">
              <w:rPr>
                <w:rFonts w:ascii="Arial" w:hAnsi="Arial" w:cs="Arial"/>
                <w:sz w:val="20"/>
                <w:szCs w:val="20"/>
                <w:lang w:val="sq-A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temi i marrjes së mostrave dhe testimi i sistemit për qumështin </w:t>
            </w:r>
            <w:r w:rsidR="000E6504">
              <w:rPr>
                <w:rFonts w:ascii="Arial" w:hAnsi="Arial" w:cs="Arial"/>
                <w:sz w:val="20"/>
                <w:szCs w:val="20"/>
                <w:lang w:val="sq-AL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papërpunuar në Kosovë bëhet në</w:t>
            </w:r>
            <w:r w:rsidR="000E6504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përputhje me Udhëzimin Administrativ </w:t>
            </w:r>
            <w:r w:rsidR="000B43E9" w:rsidRPr="00314F2F">
              <w:rPr>
                <w:rFonts w:ascii="Arial" w:hAnsi="Arial" w:cs="Arial"/>
                <w:sz w:val="20"/>
                <w:szCs w:val="20"/>
                <w:lang w:val="sq-AL"/>
              </w:rPr>
              <w:t>MA – Nr. 20/2006</w:t>
            </w:r>
          </w:p>
          <w:p w:rsidR="000B43E9" w:rsidRPr="00314F2F" w:rsidRDefault="00681C6A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Të gjithë shitësit e qumështit dhe produkteve të qumështit në Kosovë e kanë lejen e lëshuar nga  AUV, jo vetëm për qumështore të licencuara </w:t>
            </w:r>
          </w:p>
          <w:p w:rsidR="000B43E9" w:rsidRPr="00314F2F" w:rsidRDefault="00681C6A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Sektori i qumështit në Kosovë mbështetet nga subvencioni publik dhe skema e pagesës së drejtpërdrejt i cili mbështet fermerët e qumështit që e prodhojnë</w:t>
            </w:r>
            <w:r w:rsidR="000E6504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qumështin mbi standardet minimale </w:t>
            </w:r>
            <w:r w:rsidR="002F7FDE">
              <w:rPr>
                <w:rFonts w:ascii="Arial" w:hAnsi="Arial" w:cs="Arial"/>
                <w:sz w:val="20"/>
                <w:szCs w:val="20"/>
                <w:lang w:val="sq-AL"/>
              </w:rPr>
              <w:t>të cilësisë të përcaktuara nga AUV.</w:t>
            </w:r>
            <w:r w:rsidR="000B43E9"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0B43E9" w:rsidRPr="00314F2F" w:rsidRDefault="000B43E9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314F2F" w:rsidRPr="00B061FD" w:rsidTr="000B43E9">
        <w:trPr>
          <w:trHeight w:val="262"/>
        </w:trPr>
        <w:tc>
          <w:tcPr>
            <w:cnfStyle w:val="001000000000"/>
            <w:tcW w:w="1908" w:type="dxa"/>
          </w:tcPr>
          <w:p w:rsidR="000B43E9" w:rsidRDefault="00314F2F" w:rsidP="00314F2F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Përfituesit </w:t>
            </w:r>
          </w:p>
          <w:p w:rsidR="00314F2F" w:rsidRPr="00314F2F" w:rsidRDefault="00314F2F" w:rsidP="00314F2F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8334" w:type="dxa"/>
          </w:tcPr>
          <w:p w:rsidR="000B43E9" w:rsidRPr="00314F2F" w:rsidRDefault="000B43E9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2000 </w:t>
            </w:r>
            <w:r w:rsidR="00D154DF">
              <w:rPr>
                <w:rFonts w:ascii="Arial" w:hAnsi="Arial" w:cs="Arial"/>
                <w:sz w:val="20"/>
                <w:szCs w:val="20"/>
                <w:lang w:val="sq-AL"/>
              </w:rPr>
              <w:t>prodhues të qumështit</w:t>
            </w: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, </w:t>
            </w:r>
            <w:r w:rsidR="00D93DE3">
              <w:rPr>
                <w:rFonts w:ascii="Arial" w:hAnsi="Arial" w:cs="Arial"/>
                <w:sz w:val="20"/>
                <w:szCs w:val="20"/>
                <w:lang w:val="sq-AL"/>
              </w:rPr>
              <w:t>industria</w:t>
            </w:r>
            <w:r w:rsidR="00D154DF">
              <w:rPr>
                <w:rFonts w:ascii="Arial" w:hAnsi="Arial" w:cs="Arial"/>
                <w:sz w:val="20"/>
                <w:szCs w:val="20"/>
                <w:lang w:val="sq-AL"/>
              </w:rPr>
              <w:t xml:space="preserve"> e qumështit, shteti dhe konsumatorët </w:t>
            </w:r>
          </w:p>
          <w:p w:rsidR="000B43E9" w:rsidRPr="00314F2F" w:rsidRDefault="000B43E9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314F2F" w:rsidRPr="00B061FD" w:rsidTr="000B43E9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0B43E9" w:rsidRPr="00314F2F" w:rsidRDefault="00314F2F" w:rsidP="00314F2F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Partnerët e implementimit </w:t>
            </w:r>
          </w:p>
        </w:tc>
        <w:tc>
          <w:tcPr>
            <w:tcW w:w="8334" w:type="dxa"/>
          </w:tcPr>
          <w:p w:rsidR="000B43E9" w:rsidRPr="00314F2F" w:rsidRDefault="004D1520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Shoqata e prodhuesve të qumështit dhe Shoqata e përpunuesve të qumështit </w:t>
            </w:r>
          </w:p>
          <w:p w:rsidR="000B43E9" w:rsidRPr="00314F2F" w:rsidRDefault="000B43E9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314F2F" w:rsidRPr="00B061FD" w:rsidTr="000B43E9">
        <w:trPr>
          <w:trHeight w:val="262"/>
        </w:trPr>
        <w:tc>
          <w:tcPr>
            <w:cnfStyle w:val="001000000000"/>
            <w:tcW w:w="1908" w:type="dxa"/>
          </w:tcPr>
          <w:p w:rsidR="000B43E9" w:rsidRPr="00314F2F" w:rsidRDefault="00314F2F" w:rsidP="00314F2F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Përshkrimi i partnerit </w:t>
            </w:r>
          </w:p>
        </w:tc>
        <w:tc>
          <w:tcPr>
            <w:tcW w:w="8334" w:type="dxa"/>
          </w:tcPr>
          <w:p w:rsidR="000B43E9" w:rsidRPr="00B061FD" w:rsidRDefault="00262EB0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>Shoqata e Prodhuesve të Qumështit të Kosovës KAMP është e regjistruar si një organizatë jo</w:t>
            </w:r>
            <w:r w:rsidR="00D93DE3"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>fitimprurëse</w:t>
            </w:r>
            <w:r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 xml:space="preserve">. Ajo numëron rreth 500 prodhues të regjistruar të qumështit. Shoqata është aktive  në tërë Kosovën e përfaqësuar nga 7 degë rajonale në territorin e Kosovës. KAMP përfaqëson shumicën e prodhuesve të qumështit që </w:t>
            </w:r>
            <w:r w:rsidR="000E6504"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>e</w:t>
            </w:r>
            <w:r w:rsidR="0039775C"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 xml:space="preserve"> </w:t>
            </w:r>
            <w:r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 xml:space="preserve"> shesin qumështin përpunuesve të licencuar</w:t>
            </w:r>
            <w:r w:rsidR="000B43E9" w:rsidRPr="00B061FD">
              <w:rPr>
                <w:rFonts w:ascii="Arial" w:hAnsi="Arial" w:cs="Arial"/>
                <w:sz w:val="20"/>
                <w:szCs w:val="20"/>
                <w:lang w:val="sq-AL"/>
              </w:rPr>
              <w:t>.</w:t>
            </w:r>
          </w:p>
          <w:p w:rsidR="000B43E9" w:rsidRPr="00933593" w:rsidRDefault="00933593" w:rsidP="00D93DE3">
            <w:pPr>
              <w:jc w:val="both"/>
              <w:cnfStyle w:val="000000000000"/>
              <w:rPr>
                <w:rFonts w:cstheme="minorHAnsi"/>
                <w:lang w:val="sq-AL"/>
              </w:rPr>
            </w:pPr>
            <w:r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>Shoqata e Përpunuesve të  Qumështit të Kosovës KDPA përfaqëson  19 nga  35 përpunues të licencuar në Kosovë. Është një organizatë jo</w:t>
            </w:r>
            <w:r w:rsidR="00D93DE3"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>fitimprurëse</w:t>
            </w:r>
            <w:r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 xml:space="preserve">.  KDPA  </w:t>
            </w:r>
            <w:proofErr w:type="spellStart"/>
            <w:r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>lobon</w:t>
            </w:r>
            <w:proofErr w:type="spellEnd"/>
            <w:r w:rsidRPr="00B061FD">
              <w:rPr>
                <w:rFonts w:ascii="Arial" w:eastAsia="Times New Roman" w:hAnsi="Arial" w:cs="Arial"/>
                <w:color w:val="222222"/>
                <w:sz w:val="20"/>
                <w:szCs w:val="20"/>
                <w:lang w:val="sq-AL"/>
              </w:rPr>
              <w:t xml:space="preserve"> për përmirësimin e kornizës ligjore të industrisë së qumështit  dhe kanë kontakte të rregullta. KAMP dhe  KDPA janë  palët kryesore të dialogut shoqëror  në sektorin e qumështit dhe janë partner të besueshëm për qeverinë lidhur me çështjet e qumështit</w:t>
            </w:r>
          </w:p>
        </w:tc>
      </w:tr>
      <w:tr w:rsidR="00314F2F" w:rsidRPr="00314F2F" w:rsidTr="000B43E9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0B43E9" w:rsidRPr="00314F2F" w:rsidRDefault="00314F2F" w:rsidP="00314F2F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Kohëzgjatja e projektit </w:t>
            </w:r>
          </w:p>
        </w:tc>
        <w:tc>
          <w:tcPr>
            <w:tcW w:w="8334" w:type="dxa"/>
          </w:tcPr>
          <w:p w:rsidR="000B43E9" w:rsidRPr="00314F2F" w:rsidRDefault="000B43E9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2010-</w:t>
            </w:r>
          </w:p>
        </w:tc>
      </w:tr>
      <w:tr w:rsidR="00314F2F" w:rsidRPr="00B061FD" w:rsidTr="000B43E9">
        <w:trPr>
          <w:trHeight w:val="262"/>
        </w:trPr>
        <w:tc>
          <w:tcPr>
            <w:cnfStyle w:val="001000000000"/>
            <w:tcW w:w="1908" w:type="dxa"/>
          </w:tcPr>
          <w:p w:rsidR="000B43E9" w:rsidRPr="00314F2F" w:rsidRDefault="00314F2F" w:rsidP="00314F2F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Personi përgjegjës, kontaktet dhe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uebsajti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0B43E9"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0B43E9" w:rsidRPr="00314F2F" w:rsidRDefault="000B43E9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Pr="00314F2F">
              <w:rPr>
                <w:lang w:val="sq-AL"/>
              </w:rPr>
              <w:t xml:space="preserve"> </w:t>
            </w:r>
            <w:r w:rsidR="0039775C">
              <w:rPr>
                <w:lang w:val="sq-AL"/>
              </w:rPr>
              <w:t>Kontakti</w:t>
            </w: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Naser</w:t>
            </w:r>
            <w:proofErr w:type="spellEnd"/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Bajraktari , </w:t>
            </w:r>
            <w:r w:rsidR="0039775C">
              <w:rPr>
                <w:rFonts w:ascii="Arial" w:hAnsi="Arial" w:cs="Arial"/>
                <w:sz w:val="20"/>
                <w:szCs w:val="20"/>
                <w:lang w:val="sq-AL"/>
              </w:rPr>
              <w:t>Kryetar</w:t>
            </w: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, naser-bajraktari@hotmail.com , +377 44 196 474</w:t>
            </w:r>
          </w:p>
          <w:p w:rsidR="000B43E9" w:rsidRPr="00314F2F" w:rsidRDefault="000B43E9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ab/>
              <w:t xml:space="preserve">   Ardian </w:t>
            </w:r>
            <w:proofErr w:type="spellStart"/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Purrini</w:t>
            </w:r>
            <w:proofErr w:type="spellEnd"/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  <w:r w:rsidR="0039775C">
              <w:rPr>
                <w:rFonts w:ascii="Arial" w:hAnsi="Arial" w:cs="Arial"/>
                <w:sz w:val="20"/>
                <w:szCs w:val="20"/>
                <w:lang w:val="sq-AL"/>
              </w:rPr>
              <w:t>Drejtor Ekzekutiv</w:t>
            </w: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, ardianpurrini@gmail.com, + 377 44 270 742</w:t>
            </w:r>
          </w:p>
          <w:p w:rsidR="000B43E9" w:rsidRPr="00314F2F" w:rsidRDefault="000B43E9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ab/>
              <w:t xml:space="preserve">  KAMP  </w:t>
            </w:r>
            <w:hyperlink r:id="rId4" w:history="1">
              <w:r w:rsidRPr="00314F2F">
                <w:rPr>
                  <w:rStyle w:val="Hyperlink"/>
                  <w:rFonts w:ascii="Arial" w:hAnsi="Arial" w:cs="Arial"/>
                  <w:sz w:val="20"/>
                  <w:szCs w:val="20"/>
                  <w:lang w:val="sq-AL"/>
                </w:rPr>
                <w:t>shpqkkamp@gmail.com</w:t>
              </w:r>
            </w:hyperlink>
          </w:p>
          <w:p w:rsidR="000B43E9" w:rsidRPr="00314F2F" w:rsidRDefault="000B43E9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      Ramadan </w:t>
            </w:r>
            <w:proofErr w:type="spellStart"/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Memaj</w:t>
            </w:r>
            <w:proofErr w:type="spellEnd"/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  <w:r w:rsidR="00A73568">
              <w:rPr>
                <w:rFonts w:ascii="Arial" w:hAnsi="Arial" w:cs="Arial"/>
                <w:sz w:val="20"/>
                <w:szCs w:val="20"/>
                <w:lang w:val="sq-AL"/>
              </w:rPr>
              <w:t>Kryetar</w:t>
            </w: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>, ramadanmemaj@kosovomilk.com, +377 44  169 635</w:t>
            </w:r>
          </w:p>
          <w:p w:rsidR="000B43E9" w:rsidRPr="00314F2F" w:rsidRDefault="000B43E9" w:rsidP="00A73568">
            <w:pPr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ab/>
              <w:t xml:space="preserve">   Dafina Krasniqi. </w:t>
            </w:r>
            <w:r w:rsidR="00A73568">
              <w:rPr>
                <w:rFonts w:ascii="Arial" w:hAnsi="Arial" w:cs="Arial"/>
                <w:sz w:val="20"/>
                <w:szCs w:val="20"/>
                <w:lang w:val="sq-AL"/>
              </w:rPr>
              <w:t>Drejtor Ekzekutiv</w:t>
            </w: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, dafinakrasniqi@kosovomilk.com +377 45   899 349 </w:t>
            </w:r>
          </w:p>
          <w:p w:rsidR="000B43E9" w:rsidRPr="00314F2F" w:rsidRDefault="000B43E9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ab/>
              <w:t xml:space="preserve">   KDPA </w:t>
            </w:r>
            <w:hyperlink r:id="rId5" w:history="1">
              <w:r w:rsidRPr="00314F2F">
                <w:rPr>
                  <w:rStyle w:val="Hyperlink"/>
                  <w:rFonts w:ascii="Arial" w:hAnsi="Arial" w:cs="Arial"/>
                  <w:sz w:val="20"/>
                  <w:szCs w:val="20"/>
                  <w:lang w:val="sq-AL"/>
                </w:rPr>
                <w:t>info@kosovomilk.com</w:t>
              </w:r>
            </w:hyperlink>
          </w:p>
          <w:p w:rsidR="000B43E9" w:rsidRPr="00314F2F" w:rsidRDefault="00287E5E" w:rsidP="000B43E9">
            <w:pPr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6" w:history="1">
              <w:r w:rsidR="000B43E9" w:rsidRPr="00314F2F">
                <w:rPr>
                  <w:rStyle w:val="Hyperlink"/>
                  <w:rFonts w:ascii="Arial" w:hAnsi="Arial" w:cs="Arial"/>
                  <w:sz w:val="20"/>
                  <w:szCs w:val="20"/>
                  <w:lang w:val="sq-AL"/>
                </w:rPr>
                <w:t>www.kosovomilk.com</w:t>
              </w:r>
            </w:hyperlink>
            <w:r w:rsidR="000B43E9"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0B43E9" w:rsidRPr="00314F2F" w:rsidRDefault="000B43E9" w:rsidP="000B43E9">
            <w:pPr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  <w:bookmarkStart w:id="0" w:name="_GoBack"/>
            <w:bookmarkEnd w:id="0"/>
          </w:p>
          <w:p w:rsidR="000B43E9" w:rsidRPr="00314F2F" w:rsidRDefault="000B43E9" w:rsidP="000B43E9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314F2F" w:rsidRPr="00B061FD" w:rsidTr="000B43E9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0B43E9" w:rsidRPr="00314F2F" w:rsidRDefault="000B43E9" w:rsidP="000B43E9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14F2F">
              <w:rPr>
                <w:rFonts w:ascii="Arial" w:hAnsi="Arial" w:cs="Arial"/>
                <w:sz w:val="20"/>
                <w:szCs w:val="20"/>
                <w:lang w:val="sq-AL"/>
              </w:rPr>
              <w:t xml:space="preserve">  </w:t>
            </w:r>
          </w:p>
        </w:tc>
        <w:tc>
          <w:tcPr>
            <w:tcW w:w="8334" w:type="dxa"/>
          </w:tcPr>
          <w:p w:rsidR="000B43E9" w:rsidRPr="00314F2F" w:rsidRDefault="000B43E9" w:rsidP="000B43E9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:rsidR="00225407" w:rsidRPr="00314F2F" w:rsidRDefault="000B43E9" w:rsidP="000B43E9">
      <w:pPr>
        <w:jc w:val="both"/>
        <w:rPr>
          <w:rFonts w:ascii="Arial" w:hAnsi="Arial" w:cs="Arial"/>
          <w:sz w:val="20"/>
          <w:szCs w:val="20"/>
          <w:lang w:val="sq-AL"/>
        </w:rPr>
      </w:pPr>
      <w:r w:rsidRPr="00314F2F">
        <w:rPr>
          <w:rFonts w:ascii="Arial" w:hAnsi="Arial" w:cs="Arial"/>
          <w:noProof/>
          <w:sz w:val="20"/>
          <w:szCs w:val="20"/>
          <w:lang w:val="sq-AL"/>
        </w:rPr>
        <w:t xml:space="preserve"> </w:t>
      </w:r>
      <w:r w:rsidR="00A85E37" w:rsidRPr="00314F2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-365760</wp:posOffset>
            </wp:positionV>
            <wp:extent cx="2015490" cy="601980"/>
            <wp:effectExtent l="0" t="0" r="3810" b="7620"/>
            <wp:wrapTight wrapText="bothSides">
              <wp:wrapPolygon edited="0">
                <wp:start x="0" y="0"/>
                <wp:lineTo x="0" y="21190"/>
                <wp:lineTo x="21437" y="21190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-Suisse_SLA_Logo_rgb_eu jpeg 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407" w:rsidRPr="00314F2F" w:rsidSect="009D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E37"/>
    <w:rsid w:val="000B43E9"/>
    <w:rsid w:val="000C3EBE"/>
    <w:rsid w:val="000E6504"/>
    <w:rsid w:val="00106DC4"/>
    <w:rsid w:val="0011683E"/>
    <w:rsid w:val="001442C1"/>
    <w:rsid w:val="001551BF"/>
    <w:rsid w:val="00225407"/>
    <w:rsid w:val="00262EB0"/>
    <w:rsid w:val="00287E5E"/>
    <w:rsid w:val="002A085D"/>
    <w:rsid w:val="002C190A"/>
    <w:rsid w:val="002F7FDE"/>
    <w:rsid w:val="003006C2"/>
    <w:rsid w:val="00314F2F"/>
    <w:rsid w:val="00327903"/>
    <w:rsid w:val="003320FD"/>
    <w:rsid w:val="00347D3A"/>
    <w:rsid w:val="0039775C"/>
    <w:rsid w:val="003E6AEB"/>
    <w:rsid w:val="00403706"/>
    <w:rsid w:val="00474B6A"/>
    <w:rsid w:val="004B1F8C"/>
    <w:rsid w:val="004D1520"/>
    <w:rsid w:val="004E21C0"/>
    <w:rsid w:val="00505462"/>
    <w:rsid w:val="00516CCB"/>
    <w:rsid w:val="00520A33"/>
    <w:rsid w:val="00574C10"/>
    <w:rsid w:val="00594422"/>
    <w:rsid w:val="005E23D7"/>
    <w:rsid w:val="005E3293"/>
    <w:rsid w:val="00655CB3"/>
    <w:rsid w:val="00662B89"/>
    <w:rsid w:val="00681548"/>
    <w:rsid w:val="00681C6A"/>
    <w:rsid w:val="00690C2F"/>
    <w:rsid w:val="006B404C"/>
    <w:rsid w:val="007C1F7C"/>
    <w:rsid w:val="007C6C50"/>
    <w:rsid w:val="007D4F9B"/>
    <w:rsid w:val="00823917"/>
    <w:rsid w:val="008765AE"/>
    <w:rsid w:val="0088481C"/>
    <w:rsid w:val="00933593"/>
    <w:rsid w:val="009C3D63"/>
    <w:rsid w:val="009D2EB2"/>
    <w:rsid w:val="00A55F02"/>
    <w:rsid w:val="00A73568"/>
    <w:rsid w:val="00A778E6"/>
    <w:rsid w:val="00A85E37"/>
    <w:rsid w:val="00B061FD"/>
    <w:rsid w:val="00B33B02"/>
    <w:rsid w:val="00B55434"/>
    <w:rsid w:val="00B62DE0"/>
    <w:rsid w:val="00B85D19"/>
    <w:rsid w:val="00C07435"/>
    <w:rsid w:val="00C351BF"/>
    <w:rsid w:val="00D154DF"/>
    <w:rsid w:val="00D93DE3"/>
    <w:rsid w:val="00DC1E07"/>
    <w:rsid w:val="00DD585F"/>
    <w:rsid w:val="00EC32A0"/>
    <w:rsid w:val="00EF25BA"/>
    <w:rsid w:val="00F9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ovomilk.com" TargetMode="External"/><Relationship Id="rId5" Type="http://schemas.openxmlformats.org/officeDocument/2006/relationships/hyperlink" Target="mailto:info@kosovomilk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hpqkkam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2880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reshat.bashota</cp:lastModifiedBy>
  <cp:revision>16</cp:revision>
  <dcterms:created xsi:type="dcterms:W3CDTF">2015-03-30T12:13:00Z</dcterms:created>
  <dcterms:modified xsi:type="dcterms:W3CDTF">2015-04-02T06:16:00Z</dcterms:modified>
</cp:coreProperties>
</file>